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3" w:rsidRDefault="000E5D73" w:rsidP="000E5D73">
      <w:pPr>
        <w:pStyle w:val="HTML"/>
        <w:spacing w:line="520" w:lineRule="exact"/>
        <w:ind w:firstLine="560"/>
        <w:rPr>
          <w:rFonts w:ascii="宋体" w:eastAsia="宋体" w:hAnsi="宋体" w:hint="eastAsia"/>
          <w:color w:val="000000"/>
          <w:sz w:val="28"/>
          <w:szCs w:val="24"/>
        </w:rPr>
      </w:pPr>
      <w:r w:rsidRPr="00C10DAC">
        <w:rPr>
          <w:rFonts w:hAnsi="宋体" w:hint="eastAsia"/>
          <w:bCs/>
          <w:color w:val="000000"/>
          <w:sz w:val="28"/>
          <w:szCs w:val="24"/>
        </w:rPr>
        <w:t>附件1</w:t>
      </w:r>
      <w:r w:rsidRPr="00C10DAC">
        <w:rPr>
          <w:rFonts w:ascii="宋体" w:eastAsia="宋体" w:hAnsi="宋体" w:hint="eastAsia"/>
          <w:color w:val="000000"/>
          <w:sz w:val="28"/>
          <w:szCs w:val="24"/>
        </w:rPr>
        <w:t>：</w:t>
      </w:r>
    </w:p>
    <w:p w:rsidR="000E5D73" w:rsidRPr="00C10DAC" w:rsidRDefault="000E5D73" w:rsidP="000E5D73">
      <w:pPr>
        <w:pStyle w:val="HTML"/>
        <w:spacing w:line="520" w:lineRule="exact"/>
        <w:rPr>
          <w:rFonts w:ascii="宋体" w:eastAsia="宋体" w:hAnsi="宋体"/>
          <w:color w:val="000000"/>
          <w:sz w:val="28"/>
        </w:rPr>
      </w:pPr>
    </w:p>
    <w:p w:rsidR="000E5D73" w:rsidRDefault="000E5D73" w:rsidP="000E5D73">
      <w:pPr>
        <w:pStyle w:val="HTML"/>
        <w:spacing w:line="520" w:lineRule="exact"/>
        <w:jc w:val="center"/>
        <w:rPr>
          <w:rFonts w:ascii="华文中宋" w:eastAsia="华文中宋" w:hAnsi="华文中宋" w:hint="eastAsia"/>
          <w:b/>
          <w:bCs/>
          <w:color w:val="000000"/>
          <w:sz w:val="32"/>
          <w:szCs w:val="27"/>
        </w:rPr>
      </w:pPr>
      <w:r w:rsidRPr="00C10DAC">
        <w:rPr>
          <w:rFonts w:ascii="华文中宋" w:eastAsia="华文中宋" w:hAnsi="华文中宋" w:hint="eastAsia"/>
          <w:b/>
          <w:bCs/>
          <w:color w:val="000000"/>
          <w:sz w:val="32"/>
          <w:szCs w:val="27"/>
        </w:rPr>
        <w:t>北京交通大学学院（系）用房使用机制改革实施细则</w:t>
      </w:r>
    </w:p>
    <w:p w:rsidR="000E5D73" w:rsidRPr="00C10DAC" w:rsidRDefault="000E5D73" w:rsidP="000E5D73">
      <w:pPr>
        <w:pStyle w:val="HTML"/>
        <w:spacing w:line="520" w:lineRule="exact"/>
        <w:jc w:val="center"/>
        <w:rPr>
          <w:rFonts w:ascii="华文中宋" w:eastAsia="华文中宋" w:hAnsi="华文中宋"/>
          <w:color w:val="000000"/>
          <w:sz w:val="32"/>
        </w:rPr>
      </w:pPr>
    </w:p>
    <w:p w:rsidR="000E5D73" w:rsidRPr="00C10DAC" w:rsidRDefault="000E5D73" w:rsidP="000E5D73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第一条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 xml:space="preserve"> 根据《北京交通大学公用房屋使用机制改革方案》制定本细则。</w:t>
      </w:r>
    </w:p>
    <w:p w:rsidR="000E5D73" w:rsidRPr="00C10DAC" w:rsidRDefault="000E5D73" w:rsidP="000E5D73">
      <w:pPr>
        <w:pStyle w:val="HTML"/>
        <w:spacing w:line="520" w:lineRule="exact"/>
        <w:ind w:leftChars="1" w:left="2"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第二条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 xml:space="preserve"> 本细则所指“使用面积”为房屋的净使用面积，不包括门厅、走廊、通道、楼梯、厕所及每幢楼房必备的值班室、配电室等公共面积，单位为平方米（m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）。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第三条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 xml:space="preserve"> 学校核定的各学院（系）公用房屋定额面积包括办公用房定额面积BG(m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)和人才培养用房定额面积RC(m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)。超过学院（系）公用房屋定额面积的部分，学校将收取房屋资源占用费。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 xml:space="preserve">第四条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对于公用房屋使用面积未达到用房定额面积的单位，学校将优先增加公用房屋面积的配置；对于未及时缴纳房屋资源占用费的学院（系），暂不增加公用房屋面积的配置。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 xml:space="preserve">第五条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对于高层次学科平台的建设，经学校研究确认需要，可优先配置公用房屋并收取房屋资源占用费。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2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 xml:space="preserve">第六条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办公用房定额用房面积BG(m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)计算标准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BG = 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1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*30 + 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*18+ 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3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*10 + 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4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*8+ 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5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*6+ HYS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1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——各院（系）院士实际在编人数；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——各院（系）正高职和正处职实际在编人数；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3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——各院（系）副高职和副处职实际在编人数；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4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——各院（系）办公室其他工作人员在编人数。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BZ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bscript"/>
        </w:rPr>
        <w:t>5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——各院（系）讲师及以下教师、教辅人员在编人数。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HYS——各院（系）会议室面积，标准为30</w:t>
      </w:r>
      <w:r w:rsidRPr="00C10DAC">
        <w:rPr>
          <w:rFonts w:ascii="仿宋_GB2312" w:eastAsia="宋体" w:hAnsi="宋体" w:hint="eastAsia"/>
          <w:color w:val="000000"/>
          <w:sz w:val="30"/>
          <w:szCs w:val="30"/>
        </w:rPr>
        <w:t>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/100人，计算总人数为各院（系）的在编人数（注：在编人数由人事处核定）。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lastRenderedPageBreak/>
        <w:t>第七条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 xml:space="preserve"> 人才培养用房定额面积RC(m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)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RC = RC1 +RC2 (m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>2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)</w:t>
      </w:r>
    </w:p>
    <w:p w:rsidR="000E5D73" w:rsidRPr="00C10DAC" w:rsidRDefault="000E5D73" w:rsidP="000E5D73">
      <w:pPr>
        <w:pStyle w:val="HTML"/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其中RC1为各院（系）实践教学用房定额面积；RC2为各院(系)本科毕业设计（论文）和研究生论文工作用房定额面积。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proofErr w:type="spellStart"/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RCl</w:t>
      </w:r>
      <w:proofErr w:type="spellEnd"/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依据各教学实验室分类和使用效率折减系数计算。教学实验室分类依据单位面积能够容纳的学生标准人数确定，使用效率按同类教学实验室分别测定；低于全校同类教学实验室平均使用效率时，有效面积计算将计入折减系数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RC2按学生类型分别计算：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本科毕业设计（论文）学生的定额面积为</w:t>
      </w:r>
      <w:smartTag w:uri="urn:schemas-microsoft-com:office:smarttags" w:element="chmetcnv">
        <w:smartTagPr>
          <w:attr w:name="UnitName" w:val="m2"/>
          <w:attr w:name="SourceValue" w:val="0.75"/>
          <w:attr w:name="HasSpace" w:val="True"/>
          <w:attr w:name="Negative" w:val="False"/>
          <w:attr w:name="NumberType" w:val="1"/>
          <w:attr w:name="TCSC" w:val="0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0.75 m</w:t>
        </w:r>
        <w:r w:rsidRPr="00C10DAC">
          <w:rPr>
            <w:rFonts w:ascii="仿宋_GB2312" w:eastAsia="仿宋_GB2312" w:hAnsi="宋体" w:hint="eastAsia"/>
            <w:color w:val="000000"/>
            <w:sz w:val="30"/>
            <w:szCs w:val="30"/>
            <w:vertAlign w:val="superscript"/>
          </w:rPr>
          <w:t>2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 xml:space="preserve">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/人；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硕士研究生的定额面积为2+</w:t>
      </w:r>
      <w:smartTag w:uri="urn:schemas-microsoft-com:office:smarttags" w:element="chmetcnv">
        <w:smartTagPr>
          <w:attr w:name="UnitName" w:val="m2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1 m</w:t>
        </w:r>
        <w:r w:rsidRPr="00C10DAC">
          <w:rPr>
            <w:rFonts w:ascii="仿宋_GB2312" w:eastAsia="仿宋_GB2312" w:hAnsi="宋体" w:hint="eastAsia"/>
            <w:color w:val="000000"/>
            <w:sz w:val="30"/>
            <w:szCs w:val="30"/>
            <w:vertAlign w:val="superscript"/>
          </w:rPr>
          <w:t>2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 xml:space="preserve">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/人；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博士研究生的定额面积为3+</w:t>
      </w:r>
      <w:smartTag w:uri="urn:schemas-microsoft-com:office:smarttags" w:element="chmetcnv">
        <w:smartTagPr>
          <w:attr w:name="UnitName" w:val="m2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1 m</w:t>
        </w:r>
        <w:r w:rsidRPr="00C10DAC">
          <w:rPr>
            <w:rFonts w:ascii="仿宋_GB2312" w:eastAsia="仿宋_GB2312" w:hAnsi="宋体" w:hint="eastAsia"/>
            <w:color w:val="000000"/>
            <w:sz w:val="30"/>
            <w:szCs w:val="30"/>
            <w:vertAlign w:val="superscript"/>
          </w:rPr>
          <w:t>2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 xml:space="preserve">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/人；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smartTag w:uri="urn:schemas-microsoft-com:office:smarttags" w:element="PersonName">
        <w:smartTagPr>
          <w:attr w:name="ProductID" w:val="师资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师资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博士后或</w:t>
      </w:r>
      <w:smartTag w:uri="urn:schemas-microsoft-com:office:smarttags" w:element="PersonName">
        <w:smartTagPr>
          <w:attr w:name="ProductID" w:val="全职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全职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博士后的定额面积为5+</w:t>
      </w:r>
      <w:smartTag w:uri="urn:schemas-microsoft-com:office:smarttags" w:element="chmetcnv">
        <w:smartTagPr>
          <w:attr w:name="UnitName" w:val="m2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1 m</w:t>
        </w:r>
        <w:r w:rsidRPr="00C10DAC">
          <w:rPr>
            <w:rFonts w:ascii="仿宋_GB2312" w:eastAsia="仿宋_GB2312" w:hAnsi="宋体" w:hint="eastAsia"/>
            <w:color w:val="000000"/>
            <w:sz w:val="30"/>
            <w:szCs w:val="30"/>
            <w:vertAlign w:val="superscript"/>
          </w:rPr>
          <w:t>2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  <w:vertAlign w:val="superscript"/>
        </w:rPr>
        <w:t xml:space="preserve">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/人。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注：上面标准中“+1”表示，对于非人文、经管类的研究生，每人补助1</w:t>
      </w:r>
      <w:r w:rsidRPr="00C10DAC">
        <w:rPr>
          <w:rFonts w:ascii="仿宋_GB2312" w:eastAsia="宋体" w:hAnsi="宋体" w:hint="eastAsia"/>
          <w:color w:val="000000"/>
          <w:sz w:val="30"/>
          <w:szCs w:val="30"/>
        </w:rPr>
        <w:t>㎡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实验条件用房面积。</w:t>
      </w:r>
    </w:p>
    <w:p w:rsidR="000E5D73" w:rsidRPr="00C10DAC" w:rsidRDefault="000E5D73" w:rsidP="000E5D73">
      <w:pPr>
        <w:pStyle w:val="HTML"/>
        <w:spacing w:line="520" w:lineRule="exact"/>
        <w:ind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对于有专业教室的单位，不再计算本科毕业设计（论文）定额面积。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本科生人数以教务处核定的应届毕业生人数为准；硕士</w:t>
      </w:r>
      <w:smartTag w:uri="urn:schemas-microsoft-com:office:smarttags" w:element="PersonName">
        <w:smartTagPr>
          <w:attr w:name="ProductID" w:val="和"/>
        </w:smartTagPr>
        <w:r w:rsidRPr="00C10DAC">
          <w:rPr>
            <w:rFonts w:ascii="仿宋_GB2312" w:eastAsia="仿宋_GB2312" w:hAnsi="宋体" w:hint="eastAsia"/>
            <w:color w:val="000000"/>
            <w:sz w:val="30"/>
            <w:szCs w:val="30"/>
          </w:rPr>
          <w:t>和</w:t>
        </w:r>
      </w:smartTag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博士研究生以研究生院核定的已完成课程学习阶段的学生人数为准；博士后以人事处核定的人数为准。博士生论文工作年限统一按3年计算，硕士生论文工作年限统一按1.5年计算。</w:t>
      </w:r>
    </w:p>
    <w:p w:rsidR="000E5D73" w:rsidRPr="00C10DAC" w:rsidRDefault="000E5D73" w:rsidP="000E5D73">
      <w:pPr>
        <w:pStyle w:val="HTML"/>
        <w:spacing w:line="520" w:lineRule="exact"/>
        <w:ind w:firstLineChars="200" w:firstLine="600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各院（系）学生活动面积由房地产管理处商学生工作部、研究生工作部、团委后，决定集中统一安排或分散到各院系安排。</w:t>
      </w:r>
    </w:p>
    <w:p w:rsidR="000E5D73" w:rsidRPr="00C10DAC" w:rsidRDefault="000E5D73" w:rsidP="000E5D73">
      <w:pPr>
        <w:spacing w:line="520" w:lineRule="exact"/>
        <w:ind w:firstLineChars="200" w:firstLine="602"/>
        <w:jc w:val="left"/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 xml:space="preserve">第八条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 xml:space="preserve"> 学校对各</w:t>
      </w:r>
      <w:r w:rsidRPr="00C10DAC">
        <w:rPr>
          <w:rFonts w:ascii="仿宋_GB2312" w:eastAsia="仿宋_GB2312" w:hAnsi="宋体" w:hint="eastAsia"/>
          <w:bCs/>
          <w:color w:val="000000"/>
          <w:sz w:val="30"/>
          <w:szCs w:val="30"/>
        </w:rPr>
        <w:t>院（系）额定用房面积根据此标准核算出总面积后，由各院（系）在参考此标准的基础上结合自身具体情况进行统筹调配。</w:t>
      </w:r>
    </w:p>
    <w:p w:rsidR="000E5D73" w:rsidRPr="00C10DAC" w:rsidRDefault="000E5D73" w:rsidP="000E5D73">
      <w:pPr>
        <w:spacing w:line="520" w:lineRule="exact"/>
        <w:ind w:firstLineChars="200" w:firstLine="602"/>
        <w:jc w:val="left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C10DAC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lastRenderedPageBreak/>
        <w:t xml:space="preserve">第九条 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房屋资源占用费收取标准暂定为每天每平方米使用面积1元，以后学校每两年根据情况进行调整。</w:t>
      </w:r>
    </w:p>
    <w:p w:rsidR="000E5D73" w:rsidRPr="00C10DAC" w:rsidRDefault="000E5D73" w:rsidP="000E5D73">
      <w:pPr>
        <w:pStyle w:val="HTML"/>
        <w:spacing w:line="520" w:lineRule="exact"/>
        <w:ind w:firstLine="602"/>
        <w:rPr>
          <w:rFonts w:ascii="仿宋_GB2312" w:eastAsia="仿宋_GB2312" w:hAnsi="宋体" w:hint="eastAsia"/>
          <w:bCs/>
          <w:color w:val="000000"/>
          <w:sz w:val="30"/>
          <w:szCs w:val="30"/>
        </w:rPr>
      </w:pPr>
      <w:r w:rsidRPr="00C10DAC">
        <w:rPr>
          <w:rFonts w:ascii="仿宋_GB2312" w:eastAsia="仿宋_GB2312" w:hAnsi="宋体" w:cs="Times New Roman" w:hint="eastAsia"/>
          <w:b/>
          <w:bCs/>
          <w:color w:val="000000"/>
          <w:kern w:val="2"/>
          <w:sz w:val="30"/>
          <w:szCs w:val="30"/>
        </w:rPr>
        <w:t xml:space="preserve">第十条 </w:t>
      </w:r>
      <w:r w:rsidRPr="00C10DAC">
        <w:rPr>
          <w:rFonts w:ascii="仿宋_GB2312" w:eastAsia="仿宋_GB2312" w:hAnsi="宋体" w:cs="Times New Roman" w:hint="eastAsia"/>
          <w:color w:val="000000"/>
          <w:kern w:val="2"/>
          <w:sz w:val="30"/>
          <w:szCs w:val="30"/>
        </w:rPr>
        <w:t>本细则与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C10DAC">
        <w:rPr>
          <w:rFonts w:ascii="仿宋_GB2312" w:eastAsia="仿宋_GB2312" w:hAnsi="宋体" w:cs="Times New Roman" w:hint="eastAsia"/>
          <w:color w:val="000000"/>
          <w:kern w:val="2"/>
          <w:sz w:val="30"/>
          <w:szCs w:val="30"/>
        </w:rPr>
        <w:t>北京交通大学公用房屋使用机制改革方案</w:t>
      </w:r>
      <w:r w:rsidRPr="00C10DAC">
        <w:rPr>
          <w:rFonts w:ascii="仿宋_GB2312" w:eastAsia="仿宋_GB2312" w:hAnsi="宋体" w:hint="eastAsia"/>
          <w:color w:val="000000"/>
          <w:sz w:val="30"/>
          <w:szCs w:val="30"/>
        </w:rPr>
        <w:t>》</w:t>
      </w:r>
      <w:r w:rsidRPr="00C10DAC">
        <w:rPr>
          <w:rFonts w:ascii="仿宋_GB2312" w:eastAsia="仿宋_GB2312" w:hAnsi="宋体" w:cs="Times New Roman" w:hint="eastAsia"/>
          <w:color w:val="000000"/>
          <w:kern w:val="2"/>
          <w:sz w:val="30"/>
          <w:szCs w:val="30"/>
        </w:rPr>
        <w:t>同时生效。由房地产管理处负责解释。</w:t>
      </w:r>
    </w:p>
    <w:p w:rsidR="00967F63" w:rsidRDefault="000E5D73" w:rsidP="000E5D73">
      <w:pPr>
        <w:ind w:firstLine="560"/>
      </w:pPr>
      <w:r>
        <w:rPr>
          <w:rFonts w:ascii="宋体" w:hAnsi="宋体"/>
          <w:color w:val="000000"/>
          <w:sz w:val="28"/>
        </w:rPr>
        <w:br w:type="page"/>
      </w:r>
    </w:p>
    <w:sectPr w:rsidR="00967F63" w:rsidSect="0096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D73"/>
    <w:rsid w:val="000553A6"/>
    <w:rsid w:val="000E5D73"/>
    <w:rsid w:val="003B2D0E"/>
    <w:rsid w:val="00831B56"/>
    <w:rsid w:val="0096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73"/>
    <w:pPr>
      <w:widowControl w:val="0"/>
      <w:spacing w:before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0E5D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0E5D73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2018-10-26T03:08:00Z</dcterms:created>
  <dcterms:modified xsi:type="dcterms:W3CDTF">2018-10-26T03:08:00Z</dcterms:modified>
</cp:coreProperties>
</file>